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50" w:rsidRPr="00EB7D50" w:rsidRDefault="00EB7D50" w:rsidP="00EB7D5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4</w:t>
      </w:r>
    </w:p>
    <w:p w:rsidR="00EB7D50" w:rsidRDefault="00EB7D50">
      <w:pPr>
        <w:rPr>
          <w:rFonts w:ascii="Times New Roman" w:hAnsi="Times New Roman" w:cs="Times New Roman"/>
          <w:b/>
          <w:i/>
        </w:rPr>
      </w:pPr>
    </w:p>
    <w:p w:rsidR="003521EE" w:rsidRPr="00503552" w:rsidRDefault="007304CD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Название на русском языке:</w:t>
      </w:r>
      <w:r w:rsidRPr="00503552">
        <w:rPr>
          <w:rFonts w:ascii="Times New Roman" w:hAnsi="Times New Roman" w:cs="Times New Roman"/>
        </w:rPr>
        <w:t xml:space="preserve"> Опросник «Качество жизни больных глаукомой- 15»</w:t>
      </w:r>
    </w:p>
    <w:p w:rsidR="007304CD" w:rsidRPr="00503552" w:rsidRDefault="007304CD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Оригинальное название (если есть):</w:t>
      </w:r>
      <w:r w:rsidRPr="00503552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The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Glaucoma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Quality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of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Life</w:t>
      </w:r>
      <w:r w:rsidR="005D4758" w:rsidRPr="00EB7D50">
        <w:rPr>
          <w:rFonts w:ascii="Times New Roman" w:hAnsi="Times New Roman" w:cs="Times New Roman"/>
        </w:rPr>
        <w:t xml:space="preserve"> – 15 (</w:t>
      </w:r>
      <w:r w:rsidR="005D4758" w:rsidRPr="00503552">
        <w:rPr>
          <w:rFonts w:ascii="Times New Roman" w:hAnsi="Times New Roman" w:cs="Times New Roman"/>
          <w:lang w:val="en-US"/>
        </w:rPr>
        <w:t>GQL</w:t>
      </w:r>
      <w:r w:rsidR="005D4758" w:rsidRPr="00EB7D50">
        <w:rPr>
          <w:rFonts w:ascii="Times New Roman" w:hAnsi="Times New Roman" w:cs="Times New Roman"/>
        </w:rPr>
        <w:t xml:space="preserve"> – 15)</w:t>
      </w:r>
    </w:p>
    <w:p w:rsidR="005D4758" w:rsidRPr="00EB7D50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Источник (официальный сайт разработчиков, публикация с валидацией):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Nelson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P</w:t>
      </w:r>
      <w:r w:rsidRPr="00503552">
        <w:rPr>
          <w:rFonts w:ascii="Times New Roman" w:hAnsi="Times New Roman" w:cs="Times New Roman"/>
        </w:rPr>
        <w:t xml:space="preserve">., </w:t>
      </w:r>
      <w:r w:rsidRPr="00503552">
        <w:rPr>
          <w:rFonts w:ascii="Times New Roman" w:hAnsi="Times New Roman" w:cs="Times New Roman"/>
          <w:lang w:val="en-US"/>
        </w:rPr>
        <w:t>Aspinall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P</w:t>
      </w:r>
      <w:r w:rsidRPr="00503552">
        <w:rPr>
          <w:rFonts w:ascii="Times New Roman" w:hAnsi="Times New Roman" w:cs="Times New Roman"/>
        </w:rPr>
        <w:t xml:space="preserve">., </w:t>
      </w:r>
      <w:r w:rsidRPr="00503552">
        <w:rPr>
          <w:rFonts w:ascii="Times New Roman" w:hAnsi="Times New Roman" w:cs="Times New Roman"/>
          <w:lang w:val="en-US"/>
        </w:rPr>
        <w:t>Papasouliotis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O</w:t>
      </w:r>
      <w:r w:rsidRPr="00503552">
        <w:rPr>
          <w:rFonts w:ascii="Times New Roman" w:hAnsi="Times New Roman" w:cs="Times New Roman"/>
        </w:rPr>
        <w:t xml:space="preserve">., </w:t>
      </w:r>
      <w:r w:rsidRPr="00503552">
        <w:rPr>
          <w:rFonts w:ascii="Times New Roman" w:hAnsi="Times New Roman" w:cs="Times New Roman"/>
          <w:lang w:val="en-US"/>
        </w:rPr>
        <w:t>Worton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B</w:t>
      </w:r>
      <w:r w:rsidRPr="00503552">
        <w:rPr>
          <w:rFonts w:ascii="Times New Roman" w:hAnsi="Times New Roman" w:cs="Times New Roman"/>
        </w:rPr>
        <w:t xml:space="preserve">., </w:t>
      </w:r>
      <w:r w:rsidRPr="00503552">
        <w:rPr>
          <w:rFonts w:ascii="Times New Roman" w:hAnsi="Times New Roman" w:cs="Times New Roman"/>
          <w:lang w:val="en-US"/>
        </w:rPr>
        <w:t>O</w:t>
      </w:r>
      <w:r w:rsidRPr="00503552">
        <w:rPr>
          <w:rFonts w:ascii="Times New Roman" w:hAnsi="Times New Roman" w:cs="Times New Roman"/>
        </w:rPr>
        <w:t>’</w:t>
      </w:r>
      <w:r w:rsidRPr="00503552">
        <w:rPr>
          <w:rFonts w:ascii="Times New Roman" w:hAnsi="Times New Roman" w:cs="Times New Roman"/>
          <w:lang w:val="en-US"/>
        </w:rPr>
        <w:t>Brien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C</w:t>
      </w:r>
      <w:r w:rsidRPr="00503552">
        <w:rPr>
          <w:rFonts w:ascii="Times New Roman" w:hAnsi="Times New Roman" w:cs="Times New Roman"/>
        </w:rPr>
        <w:t xml:space="preserve">. </w:t>
      </w:r>
      <w:r w:rsidRPr="00503552">
        <w:rPr>
          <w:rFonts w:ascii="Times New Roman" w:hAnsi="Times New Roman" w:cs="Times New Roman"/>
          <w:lang w:val="en-US"/>
        </w:rPr>
        <w:t>Quality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og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life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in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glaucoma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and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its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relationship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with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visual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function</w:t>
      </w:r>
      <w:r w:rsidRPr="00503552">
        <w:rPr>
          <w:rFonts w:ascii="Times New Roman" w:hAnsi="Times New Roman" w:cs="Times New Roman"/>
        </w:rPr>
        <w:t xml:space="preserve"> // </w:t>
      </w:r>
      <w:r w:rsidRPr="00503552">
        <w:rPr>
          <w:rFonts w:ascii="Times New Roman" w:hAnsi="Times New Roman" w:cs="Times New Roman"/>
          <w:lang w:val="en-US"/>
        </w:rPr>
        <w:t>J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Glaucoma</w:t>
      </w:r>
      <w:r w:rsidRPr="00503552">
        <w:rPr>
          <w:rFonts w:ascii="Times New Roman" w:hAnsi="Times New Roman" w:cs="Times New Roman"/>
        </w:rPr>
        <w:t>. 2</w:t>
      </w:r>
      <w:r w:rsidRPr="00EB7D50">
        <w:rPr>
          <w:rFonts w:ascii="Times New Roman" w:hAnsi="Times New Roman" w:cs="Times New Roman"/>
        </w:rPr>
        <w:t>003</w:t>
      </w:r>
      <w:r w:rsidRPr="00503552">
        <w:rPr>
          <w:rFonts w:ascii="Times New Roman" w:hAnsi="Times New Roman" w:cs="Times New Roman"/>
        </w:rPr>
        <w:t>;</w:t>
      </w:r>
      <w:r w:rsidRPr="00EB7D50">
        <w:rPr>
          <w:rFonts w:ascii="Times New Roman" w:hAnsi="Times New Roman" w:cs="Times New Roman"/>
        </w:rPr>
        <w:t xml:space="preserve"> 12(2)</w:t>
      </w:r>
      <w:r w:rsidRPr="00503552">
        <w:rPr>
          <w:rFonts w:ascii="Times New Roman" w:hAnsi="Times New Roman" w:cs="Times New Roman"/>
        </w:rPr>
        <w:t>:</w:t>
      </w:r>
      <w:r w:rsidRPr="00EB7D50">
        <w:rPr>
          <w:rFonts w:ascii="Times New Roman" w:hAnsi="Times New Roman" w:cs="Times New Roman"/>
        </w:rPr>
        <w:t xml:space="preserve"> 139 – 150</w:t>
      </w:r>
      <w:r w:rsidRPr="00503552">
        <w:rPr>
          <w:rFonts w:ascii="Times New Roman" w:hAnsi="Times New Roman" w:cs="Times New Roman"/>
        </w:rPr>
        <w:t>.</w:t>
      </w: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Тип (подчеркнуть):</w:t>
      </w:r>
      <w:r w:rsidRPr="00503552">
        <w:rPr>
          <w:rFonts w:ascii="Times New Roman" w:hAnsi="Times New Roman" w:cs="Times New Roman"/>
        </w:rPr>
        <w:t xml:space="preserve"> вопросник</w:t>
      </w:r>
    </w:p>
    <w:p w:rsidR="005D4758" w:rsidRPr="00503552" w:rsidRDefault="005D4758">
      <w:pPr>
        <w:rPr>
          <w:rFonts w:ascii="Times New Roman" w:hAnsi="Times New Roman" w:cs="Times New Roman"/>
          <w:b/>
          <w:i/>
        </w:rPr>
      </w:pPr>
      <w:r w:rsidRPr="00503552">
        <w:rPr>
          <w:rFonts w:ascii="Times New Roman" w:hAnsi="Times New Roman" w:cs="Times New Roman"/>
          <w:b/>
          <w:i/>
        </w:rPr>
        <w:t>Содержание (шаблон):</w:t>
      </w: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</w:rPr>
        <w:t>Инструкция для пациентов:</w:t>
      </w: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</w:rPr>
        <w:t>Пожалуйста, отметьте правильный ответ по шкале от 1 до 5, где [1] означает « без затруднений»,   [2] – «незначительное затруднение», [3] – «умеренное затруднение», [4] – «значительное затруднение», [5] – «резко выраженное затруднение». Если вы не выполняете какие-либо действия по другим, не связанным со зрением причинам, выберите ответ [0].</w:t>
      </w:r>
    </w:p>
    <w:p w:rsidR="005D4758" w:rsidRPr="00503552" w:rsidRDefault="005D4758">
      <w:pPr>
        <w:rPr>
          <w:rFonts w:ascii="Times New Roman" w:hAnsi="Times New Roman" w:cs="Times New Roman"/>
        </w:rPr>
      </w:pP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</w:rPr>
        <w:t>Вызывает ли состояние Вашего зрения затруднения при выполнении следующих действий?</w:t>
      </w:r>
    </w:p>
    <w:tbl>
      <w:tblPr>
        <w:tblStyle w:val="a3"/>
        <w:tblW w:w="9701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1134"/>
        <w:gridCol w:w="1276"/>
        <w:gridCol w:w="1276"/>
        <w:gridCol w:w="1796"/>
      </w:tblGrid>
      <w:tr w:rsidR="005D4758" w:rsidRPr="00503552" w:rsidTr="00503552">
        <w:tc>
          <w:tcPr>
            <w:tcW w:w="2093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Незначи-тельное</w:t>
            </w:r>
          </w:p>
        </w:tc>
        <w:tc>
          <w:tcPr>
            <w:tcW w:w="1134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Умерен-ное</w:t>
            </w:r>
          </w:p>
        </w:tc>
        <w:tc>
          <w:tcPr>
            <w:tcW w:w="1276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Значитель-</w:t>
            </w:r>
          </w:p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276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Резко</w:t>
            </w:r>
          </w:p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выражен-</w:t>
            </w:r>
          </w:p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796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Невозможно выполнить по причинам, не связанным со зрением</w:t>
            </w:r>
          </w:p>
        </w:tc>
      </w:tr>
      <w:tr w:rsidR="005D4758" w:rsidRPr="00503552" w:rsidTr="00503552">
        <w:tc>
          <w:tcPr>
            <w:tcW w:w="2093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Чтение газет</w:t>
            </w:r>
          </w:p>
        </w:tc>
        <w:tc>
          <w:tcPr>
            <w:tcW w:w="992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Прогулка в темное время суток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Зрение в темноте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Прогулки по неровной поверхности</w:t>
            </w:r>
          </w:p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Приспособленность к яркому свету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Приспособленность к сумеречному освещению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Переход из светлой комнаты в темную или наоборот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Возможность не спотыкаться о предметы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Обнаружение предметов, приближающихся сбоку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Переход дороги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lastRenderedPageBreak/>
              <w:t>Ходьба по ступенькам / лестнице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Возможность избежать столкновения с предметами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Способность оценивать расстояние от ноги до ступеньки / бордюра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Поиск упавших предметов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Распознавание лиц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</w:tbl>
    <w:p w:rsidR="005D4758" w:rsidRPr="00503552" w:rsidRDefault="005D4758">
      <w:pPr>
        <w:rPr>
          <w:rFonts w:ascii="Times New Roman" w:hAnsi="Times New Roman" w:cs="Times New Roman"/>
        </w:rPr>
      </w:pPr>
    </w:p>
    <w:p w:rsidR="00680127" w:rsidRPr="00503552" w:rsidRDefault="00680127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Ключ (интерпретация):</w:t>
      </w:r>
      <w:r w:rsidRPr="00503552">
        <w:rPr>
          <w:rFonts w:ascii="Times New Roman" w:hAnsi="Times New Roman" w:cs="Times New Roman"/>
        </w:rPr>
        <w:t xml:space="preserve"> Анкета </w:t>
      </w:r>
      <w:r w:rsidRPr="00503552">
        <w:rPr>
          <w:rFonts w:ascii="Times New Roman" w:hAnsi="Times New Roman" w:cs="Times New Roman"/>
          <w:lang w:val="en-US"/>
        </w:rPr>
        <w:t>GQL</w:t>
      </w:r>
      <w:r w:rsidRPr="00503552">
        <w:rPr>
          <w:rFonts w:ascii="Times New Roman" w:hAnsi="Times New Roman" w:cs="Times New Roman"/>
        </w:rPr>
        <w:t xml:space="preserve"> – 15 состоит из 15 пунктов,  в которых оцениваются 4 основных качественных характеристики зрения: (1) центральное зрение и зрение на близком расстоянии; (2) периферическое зрение; (3) темновая адаптация; (4) мобильность вне дома. Сумма баллов характеризует качество жизни пациента с глаукомой. Чем выше полученный показатель, тем ниже качество жизни.</w:t>
      </w:r>
    </w:p>
    <w:p w:rsidR="00680127" w:rsidRPr="00503552" w:rsidRDefault="00680127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</w:rPr>
        <w:t>Пояснения.</w:t>
      </w:r>
      <w:r w:rsidRPr="00503552">
        <w:rPr>
          <w:rFonts w:ascii="Times New Roman" w:hAnsi="Times New Roman" w:cs="Times New Roman"/>
        </w:rPr>
        <w:t xml:space="preserve"> В настоящее время разработано и доступно значительное количество опросников, посвященных изучению качества жизни больных с глаукомой (</w:t>
      </w:r>
      <w:r w:rsidRPr="00503552">
        <w:rPr>
          <w:rFonts w:ascii="Times New Roman" w:hAnsi="Times New Roman" w:cs="Times New Roman"/>
          <w:lang w:val="en-US"/>
        </w:rPr>
        <w:t>Glau</w:t>
      </w:r>
      <w:r w:rsidRPr="00503552">
        <w:rPr>
          <w:rFonts w:ascii="Times New Roman" w:hAnsi="Times New Roman" w:cs="Times New Roman"/>
        </w:rPr>
        <w:t>-</w:t>
      </w:r>
      <w:r w:rsidRPr="00503552">
        <w:rPr>
          <w:rFonts w:ascii="Times New Roman" w:hAnsi="Times New Roman" w:cs="Times New Roman"/>
          <w:lang w:val="en-US"/>
        </w:rPr>
        <w:t>QoL</w:t>
      </w:r>
      <w:r w:rsidRPr="00503552">
        <w:rPr>
          <w:rFonts w:ascii="Times New Roman" w:hAnsi="Times New Roman" w:cs="Times New Roman"/>
        </w:rPr>
        <w:t xml:space="preserve">, </w:t>
      </w:r>
      <w:r w:rsidRPr="00503552">
        <w:rPr>
          <w:rFonts w:ascii="Times New Roman" w:hAnsi="Times New Roman" w:cs="Times New Roman"/>
          <w:lang w:val="en-US"/>
        </w:rPr>
        <w:t>NEI</w:t>
      </w:r>
      <w:r w:rsidRPr="00503552">
        <w:rPr>
          <w:rFonts w:ascii="Times New Roman" w:hAnsi="Times New Roman" w:cs="Times New Roman"/>
        </w:rPr>
        <w:t>-</w:t>
      </w:r>
      <w:r w:rsidRPr="00503552">
        <w:rPr>
          <w:rFonts w:ascii="Times New Roman" w:hAnsi="Times New Roman" w:cs="Times New Roman"/>
          <w:lang w:val="en-US"/>
        </w:rPr>
        <w:t>VFQ</w:t>
      </w:r>
      <w:r w:rsidRPr="00503552">
        <w:rPr>
          <w:rFonts w:ascii="Times New Roman" w:hAnsi="Times New Roman" w:cs="Times New Roman"/>
        </w:rPr>
        <w:t xml:space="preserve">, </w:t>
      </w:r>
      <w:r w:rsidRPr="00503552">
        <w:rPr>
          <w:rFonts w:ascii="Times New Roman" w:hAnsi="Times New Roman" w:cs="Times New Roman"/>
          <w:lang w:val="en-US"/>
        </w:rPr>
        <w:t>TSS</w:t>
      </w:r>
      <w:r w:rsidRPr="00503552">
        <w:rPr>
          <w:rFonts w:ascii="Times New Roman" w:hAnsi="Times New Roman" w:cs="Times New Roman"/>
        </w:rPr>
        <w:t>-</w:t>
      </w:r>
      <w:r w:rsidRPr="00503552">
        <w:rPr>
          <w:rFonts w:ascii="Times New Roman" w:hAnsi="Times New Roman" w:cs="Times New Roman"/>
          <w:lang w:val="en-US"/>
        </w:rPr>
        <w:t>IOP</w:t>
      </w:r>
      <w:r w:rsidRPr="00503552">
        <w:rPr>
          <w:rFonts w:ascii="Times New Roman" w:hAnsi="Times New Roman" w:cs="Times New Roman"/>
        </w:rPr>
        <w:t xml:space="preserve"> и другие). Различная степень </w:t>
      </w:r>
      <w:r w:rsidR="00503552" w:rsidRPr="00503552">
        <w:rPr>
          <w:rFonts w:ascii="Times New Roman" w:hAnsi="Times New Roman" w:cs="Times New Roman"/>
        </w:rPr>
        <w:t>валидации, сложности для пациентов определяют нюансы их использования в клинической практике. Представленный опросник является удобным в использовании благодаря своей лаконичности и имеет хорошие отзывы со стороны офтальмологов и пациентов.</w:t>
      </w:r>
    </w:p>
    <w:sectPr w:rsidR="00680127" w:rsidRPr="0050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D"/>
    <w:rsid w:val="003521EE"/>
    <w:rsid w:val="00503552"/>
    <w:rsid w:val="005D4758"/>
    <w:rsid w:val="00680127"/>
    <w:rsid w:val="007304CD"/>
    <w:rsid w:val="00B37573"/>
    <w:rsid w:val="00B94BC7"/>
    <w:rsid w:val="00E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Вадимовна Красилина</dc:creator>
  <cp:lastModifiedBy>GP69-712AEV</cp:lastModifiedBy>
  <cp:revision>2</cp:revision>
  <dcterms:created xsi:type="dcterms:W3CDTF">2022-03-09T06:29:00Z</dcterms:created>
  <dcterms:modified xsi:type="dcterms:W3CDTF">2022-03-09T06:29:00Z</dcterms:modified>
</cp:coreProperties>
</file>